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00DF" w:rsidRPr="00067260" w:rsidRDefault="00CF10D0" w:rsidP="003F59D3">
      <w:pPr>
        <w:rPr>
          <w:b/>
          <w:sz w:val="32"/>
          <w:szCs w:val="32"/>
          <w:u w:val="single"/>
        </w:rPr>
      </w:pPr>
      <w:bookmarkStart w:id="0" w:name="_GoBack"/>
      <w:bookmarkEnd w:id="0"/>
      <w:r w:rsidRPr="00067260">
        <w:rPr>
          <w:b/>
          <w:sz w:val="32"/>
          <w:szCs w:val="32"/>
          <w:u w:val="single"/>
        </w:rPr>
        <w:t xml:space="preserve">Sciences </w:t>
      </w:r>
      <w:r w:rsidR="00FC00DF" w:rsidRPr="00067260">
        <w:rPr>
          <w:b/>
          <w:sz w:val="32"/>
          <w:szCs w:val="32"/>
          <w:u w:val="single"/>
        </w:rPr>
        <w:t>National Coordinators</w:t>
      </w:r>
      <w:r w:rsidR="009150DF">
        <w:rPr>
          <w:b/>
          <w:sz w:val="32"/>
          <w:szCs w:val="32"/>
          <w:u w:val="single"/>
        </w:rPr>
        <w:t>’</w:t>
      </w:r>
      <w:r w:rsidR="00FC00DF" w:rsidRPr="00067260">
        <w:rPr>
          <w:b/>
          <w:sz w:val="32"/>
          <w:szCs w:val="32"/>
          <w:u w:val="single"/>
        </w:rPr>
        <w:t xml:space="preserve"> Newsletter Term 3</w:t>
      </w:r>
    </w:p>
    <w:p w:rsidR="00FC00DF" w:rsidRPr="00B4593D" w:rsidRDefault="00FC00DF" w:rsidP="003F59D3">
      <w:pPr>
        <w:rPr>
          <w:b/>
          <w:sz w:val="16"/>
          <w:szCs w:val="16"/>
        </w:rPr>
      </w:pPr>
    </w:p>
    <w:p w:rsidR="00370EC1" w:rsidRPr="00067260" w:rsidRDefault="00CF10D0" w:rsidP="003F59D3">
      <w:pPr>
        <w:rPr>
          <w:b/>
        </w:rPr>
      </w:pPr>
      <w:r w:rsidRPr="00067260">
        <w:rPr>
          <w:b/>
        </w:rPr>
        <w:t>This term we are highlighting k</w:t>
      </w:r>
      <w:r w:rsidR="00370EC1" w:rsidRPr="00067260">
        <w:rPr>
          <w:b/>
        </w:rPr>
        <w:t xml:space="preserve">ey </w:t>
      </w:r>
      <w:r w:rsidRPr="00067260">
        <w:rPr>
          <w:b/>
        </w:rPr>
        <w:t>a</w:t>
      </w:r>
      <w:r w:rsidR="00370EC1" w:rsidRPr="00067260">
        <w:rPr>
          <w:b/>
        </w:rPr>
        <w:t xml:space="preserve">ssessment </w:t>
      </w:r>
      <w:r w:rsidRPr="00067260">
        <w:rPr>
          <w:b/>
        </w:rPr>
        <w:t>i</w:t>
      </w:r>
      <w:r w:rsidR="00370EC1" w:rsidRPr="00067260">
        <w:rPr>
          <w:b/>
        </w:rPr>
        <w:t>nfo</w:t>
      </w:r>
      <w:r w:rsidRPr="00067260">
        <w:rPr>
          <w:b/>
        </w:rPr>
        <w:t>rmation</w:t>
      </w:r>
      <w:r w:rsidR="00370EC1" w:rsidRPr="00067260">
        <w:rPr>
          <w:b/>
        </w:rPr>
        <w:t xml:space="preserve"> from NZQA and MoE </w:t>
      </w:r>
    </w:p>
    <w:p w:rsidR="00CF10D0" w:rsidRPr="00B4593D" w:rsidRDefault="00CF10D0" w:rsidP="003F59D3">
      <w:pPr>
        <w:rPr>
          <w:b/>
          <w:sz w:val="16"/>
          <w:szCs w:val="16"/>
        </w:rPr>
      </w:pPr>
    </w:p>
    <w:p w:rsidR="00FC00DF" w:rsidRPr="00067260" w:rsidRDefault="00FC00DF" w:rsidP="003F59D3">
      <w:pPr>
        <w:ind w:right="-427"/>
        <w:rPr>
          <w:rStyle w:val="Strong"/>
          <w:bCs w:val="0"/>
        </w:rPr>
      </w:pPr>
      <w:r w:rsidRPr="00067260">
        <w:rPr>
          <w:b/>
        </w:rPr>
        <w:t xml:space="preserve">Secqual </w:t>
      </w:r>
      <w:r w:rsidR="00CF10D0" w:rsidRPr="00067260">
        <w:rPr>
          <w:b/>
        </w:rPr>
        <w:t>(</w:t>
      </w:r>
      <w:r w:rsidRPr="00067260">
        <w:rPr>
          <w:b/>
        </w:rPr>
        <w:t>S2012/014 - 31 Jul 2012</w:t>
      </w:r>
      <w:r w:rsidR="00CF10D0" w:rsidRPr="00067260">
        <w:rPr>
          <w:b/>
        </w:rPr>
        <w:t>)</w:t>
      </w:r>
      <w:r w:rsidR="00370EC1" w:rsidRPr="00067260">
        <w:rPr>
          <w:b/>
        </w:rPr>
        <w:t xml:space="preserve"> </w:t>
      </w:r>
      <w:r w:rsidRPr="00067260">
        <w:rPr>
          <w:rStyle w:val="Strong"/>
          <w:bCs w:val="0"/>
        </w:rPr>
        <w:t>Changes to the list of approved subjects for U</w:t>
      </w:r>
      <w:r w:rsidR="00CF10D0" w:rsidRPr="00067260">
        <w:rPr>
          <w:rStyle w:val="Strong"/>
          <w:bCs w:val="0"/>
        </w:rPr>
        <w:t>E</w:t>
      </w:r>
      <w:r w:rsidRPr="00067260">
        <w:rPr>
          <w:rStyle w:val="Strong"/>
          <w:bCs w:val="0"/>
        </w:rPr>
        <w:t xml:space="preserve"> </w:t>
      </w:r>
    </w:p>
    <w:p w:rsidR="00FC00DF" w:rsidRPr="00067260" w:rsidRDefault="00FC00DF" w:rsidP="003F59D3">
      <w:pPr>
        <w:pStyle w:val="ListParagraph"/>
        <w:numPr>
          <w:ilvl w:val="0"/>
          <w:numId w:val="2"/>
        </w:numPr>
        <w:rPr>
          <w:rStyle w:val="Strong"/>
          <w:b w:val="0"/>
          <w:bCs w:val="0"/>
        </w:rPr>
      </w:pPr>
      <w:r w:rsidRPr="00067260">
        <w:rPr>
          <w:rStyle w:val="Strong"/>
          <w:b w:val="0"/>
          <w:bCs w:val="0"/>
        </w:rPr>
        <w:t>Earth and Space Science has been added for 2013</w:t>
      </w:r>
      <w:r w:rsidR="00370EC1" w:rsidRPr="00067260">
        <w:rPr>
          <w:rStyle w:val="Strong"/>
          <w:b w:val="0"/>
          <w:bCs w:val="0"/>
        </w:rPr>
        <w:t>.</w:t>
      </w:r>
      <w:r w:rsidR="00CF10D0" w:rsidRPr="00067260">
        <w:rPr>
          <w:rStyle w:val="Strong"/>
          <w:b w:val="0"/>
          <w:bCs w:val="0"/>
        </w:rPr>
        <w:t xml:space="preserve">  </w:t>
      </w:r>
    </w:p>
    <w:p w:rsidR="00A540D4" w:rsidRPr="00067260" w:rsidRDefault="00FC00DF" w:rsidP="003F59D3">
      <w:pPr>
        <w:pStyle w:val="ListParagraph"/>
        <w:numPr>
          <w:ilvl w:val="0"/>
          <w:numId w:val="2"/>
        </w:numPr>
      </w:pPr>
      <w:r w:rsidRPr="00067260">
        <w:rPr>
          <w:rStyle w:val="Emphasis"/>
        </w:rPr>
        <w:t>Science</w:t>
      </w:r>
      <w:r w:rsidRPr="00067260">
        <w:t xml:space="preserve"> will also remain on the list of subjects to enable delivery of non-specialist courses using any of the </w:t>
      </w:r>
      <w:r w:rsidRPr="00067260">
        <w:rPr>
          <w:rStyle w:val="Emphasis"/>
        </w:rPr>
        <w:t>Biology, Chemistry, Earth and Space Science</w:t>
      </w:r>
      <w:r w:rsidRPr="00067260">
        <w:t>, or</w:t>
      </w:r>
      <w:r w:rsidRPr="00067260">
        <w:rPr>
          <w:rStyle w:val="Emphasis"/>
        </w:rPr>
        <w:t xml:space="preserve"> Physics</w:t>
      </w:r>
      <w:r w:rsidRPr="00067260">
        <w:t xml:space="preserve"> Level 3 achievement standards.</w:t>
      </w:r>
    </w:p>
    <w:p w:rsidR="00FC00DF" w:rsidRPr="00067260" w:rsidRDefault="00FC00DF" w:rsidP="003F59D3">
      <w:r w:rsidRPr="00067260">
        <w:t xml:space="preserve">Follow up </w:t>
      </w:r>
      <w:r w:rsidR="00CF10D0" w:rsidRPr="00067260">
        <w:t>details on</w:t>
      </w:r>
      <w:r w:rsidRPr="00067260">
        <w:t xml:space="preserve"> </w:t>
      </w:r>
      <w:hyperlink r:id="rId8" w:history="1">
        <w:r w:rsidRPr="00067260">
          <w:rPr>
            <w:rStyle w:val="Hyperlink"/>
          </w:rPr>
          <w:t>http://www.nzqa.govt.nz/about-us/publications/newsletters-and-circulars/secqual/changes-to-the-list-of-approved-subjects-for-university-entrance/</w:t>
        </w:r>
      </w:hyperlink>
      <w:r w:rsidRPr="00067260">
        <w:t xml:space="preserve"> </w:t>
      </w:r>
    </w:p>
    <w:p w:rsidR="00ED0F3E" w:rsidRPr="00067260" w:rsidRDefault="00ED0F3E" w:rsidP="003F59D3"/>
    <w:p w:rsidR="00ED0F3E" w:rsidRPr="00067260" w:rsidRDefault="00ED0F3E" w:rsidP="003F59D3">
      <w:pPr>
        <w:rPr>
          <w:b/>
        </w:rPr>
      </w:pPr>
      <w:r w:rsidRPr="00067260">
        <w:rPr>
          <w:b/>
        </w:rPr>
        <w:t xml:space="preserve">Science initiatives and further extension of expiry date of eight specific Level 1 science unit standards </w:t>
      </w:r>
      <w:r w:rsidR="00CF10D0" w:rsidRPr="00067260">
        <w:rPr>
          <w:b/>
        </w:rPr>
        <w:t>(</w:t>
      </w:r>
      <w:r w:rsidRPr="00067260">
        <w:rPr>
          <w:b/>
        </w:rPr>
        <w:t>A2012/012 - 02 Jul 2012</w:t>
      </w:r>
      <w:r w:rsidR="00CF10D0" w:rsidRPr="00067260">
        <w:rPr>
          <w:b/>
        </w:rPr>
        <w:t xml:space="preserve">) </w:t>
      </w:r>
    </w:p>
    <w:p w:rsidR="00ED0F3E" w:rsidRPr="00067260" w:rsidRDefault="00ED0F3E" w:rsidP="003F59D3">
      <w:pPr>
        <w:pStyle w:val="NormalWeb"/>
        <w:spacing w:before="0" w:beforeAutospacing="0" w:after="0" w:afterAutospacing="0"/>
      </w:pPr>
      <w:r w:rsidRPr="00067260">
        <w:rPr>
          <w:rStyle w:val="Strong"/>
        </w:rPr>
        <w:t>Overview of Science initiatives</w:t>
      </w:r>
      <w:r w:rsidRPr="00067260">
        <w:t xml:space="preserve"> </w:t>
      </w:r>
      <w:r w:rsidRPr="00067260">
        <w:br/>
        <w:t xml:space="preserve">The Ministry of Education has recently initiated a number of Science initiatives in response to the Gluckman report, </w:t>
      </w:r>
      <w:r w:rsidRPr="00067260">
        <w:rPr>
          <w:rStyle w:val="Emphasis"/>
        </w:rPr>
        <w:t>Looking Ahead: Science Education for the Twenty-First Century</w:t>
      </w:r>
      <w:r w:rsidRPr="00067260">
        <w:t xml:space="preserve"> (2011), to examine raising student achievement in Science (years 1-13) through focussing on five project areas. </w:t>
      </w:r>
      <w:r w:rsidR="00CF10D0" w:rsidRPr="00067260">
        <w:t xml:space="preserve"> </w:t>
      </w:r>
      <w:r w:rsidRPr="00067260">
        <w:t>These initiatives will focus on:</w:t>
      </w:r>
    </w:p>
    <w:p w:rsidR="00ED0F3E" w:rsidRPr="00067260" w:rsidRDefault="00ED0F3E" w:rsidP="003F59D3">
      <w:pPr>
        <w:numPr>
          <w:ilvl w:val="0"/>
          <w:numId w:val="1"/>
        </w:numPr>
      </w:pPr>
      <w:r w:rsidRPr="00067260">
        <w:t>Curriculum support for Science – Improving curriculum resources, both in print and online. These resources currently support teachers and students in the Nature of Science strand, and literacy and numeracy teaching within the Science learning area.</w:t>
      </w:r>
    </w:p>
    <w:p w:rsidR="00ED0F3E" w:rsidRPr="00067260" w:rsidRDefault="00ED0F3E" w:rsidP="003F59D3">
      <w:pPr>
        <w:numPr>
          <w:ilvl w:val="0"/>
          <w:numId w:val="1"/>
        </w:numPr>
      </w:pPr>
      <w:r w:rsidRPr="00067260">
        <w:t xml:space="preserve">Science community engagement – Developing best practice and ways in which schools engage with the wider science community, particularly at secondary level, to make learning more relevant. It will also explore what works to engage the science community and why it works. </w:t>
      </w:r>
    </w:p>
    <w:p w:rsidR="00ED0F3E" w:rsidRPr="00067260" w:rsidRDefault="00ED0F3E" w:rsidP="003F59D3">
      <w:pPr>
        <w:numPr>
          <w:ilvl w:val="0"/>
          <w:numId w:val="1"/>
        </w:numPr>
      </w:pPr>
      <w:r w:rsidRPr="00067260">
        <w:t>E-Learning in Science – Using technologies to support student and teacher engagement and learning, particularly in the Nature of Science strand.</w:t>
      </w:r>
    </w:p>
    <w:p w:rsidR="00ED0F3E" w:rsidRPr="00067260" w:rsidRDefault="00ED0F3E" w:rsidP="003F59D3">
      <w:pPr>
        <w:numPr>
          <w:ilvl w:val="0"/>
          <w:numId w:val="1"/>
        </w:numPr>
      </w:pPr>
      <w:r w:rsidRPr="00067260">
        <w:t>Building teacher capability through ongoing teacher professional learning and development (PLD).</w:t>
      </w:r>
    </w:p>
    <w:p w:rsidR="00ED0F3E" w:rsidRPr="00067260" w:rsidRDefault="00ED0F3E" w:rsidP="003F59D3">
      <w:pPr>
        <w:numPr>
          <w:ilvl w:val="0"/>
          <w:numId w:val="1"/>
        </w:numPr>
      </w:pPr>
      <w:r w:rsidRPr="00067260">
        <w:t xml:space="preserve">Examining the flexibility of the curriculum and the qualifications framework, especially at secondary level, to support good programme design. </w:t>
      </w:r>
    </w:p>
    <w:p w:rsidR="00CF10D0" w:rsidRPr="00067260" w:rsidRDefault="00CF10D0" w:rsidP="003F59D3">
      <w:pPr>
        <w:pStyle w:val="NormalWeb"/>
        <w:spacing w:before="0" w:beforeAutospacing="0" w:after="0" w:afterAutospacing="0"/>
        <w:rPr>
          <w:rStyle w:val="Strong"/>
        </w:rPr>
      </w:pPr>
    </w:p>
    <w:p w:rsidR="00ED0F3E" w:rsidRPr="00067260" w:rsidRDefault="00ED0F3E" w:rsidP="003F59D3">
      <w:pPr>
        <w:pStyle w:val="NormalWeb"/>
        <w:spacing w:before="0" w:beforeAutospacing="0" w:after="0" w:afterAutospacing="0"/>
        <w:ind w:right="-143"/>
      </w:pPr>
      <w:r w:rsidRPr="00067260">
        <w:rPr>
          <w:rStyle w:val="Strong"/>
        </w:rPr>
        <w:t>Level 1 Science standards’ alignment with the New Zealand Curriculum</w:t>
      </w:r>
      <w:r w:rsidRPr="00067260">
        <w:t xml:space="preserve"> </w:t>
      </w:r>
      <w:r w:rsidRPr="00067260">
        <w:br/>
        <w:t xml:space="preserve">The MOE, in association with NZQA, has aligned the achievement standards with the outcomes from the Science learning area in The New Zealand Curriculum (NZC). </w:t>
      </w:r>
      <w:r w:rsidR="00CF10D0" w:rsidRPr="00067260">
        <w:t xml:space="preserve"> </w:t>
      </w:r>
      <w:r w:rsidRPr="00067260">
        <w:t xml:space="preserve">This is to ensure there are standards that can be used to assess against outcomes at levels 6-8 of the NZC. </w:t>
      </w:r>
      <w:r w:rsidR="0021725B">
        <w:t xml:space="preserve">Some </w:t>
      </w:r>
      <w:r w:rsidRPr="00067260">
        <w:t>Level 1 Science unit standards were due to expire in December 2012 because they were derived from levels 4 and 5 of the previous curriculum</w:t>
      </w:r>
      <w:r w:rsidR="0021725B">
        <w:t xml:space="preserve"> (the 189XX series)</w:t>
      </w:r>
      <w:r w:rsidRPr="00067260">
        <w:t xml:space="preserve">. The aligned achievement standards derive from relevant Science Level 6 outcomes from the NZC. </w:t>
      </w:r>
      <w:r w:rsidRPr="00067260">
        <w:br/>
      </w:r>
      <w:r w:rsidRPr="00067260">
        <w:rPr>
          <w:rStyle w:val="Strong"/>
        </w:rPr>
        <w:t xml:space="preserve">Feedback </w:t>
      </w:r>
      <w:r w:rsidRPr="00067260">
        <w:br/>
        <w:t>Feedback from the secondary sector indicates that some schools are finding it difficult to design Science programmes derived from the NZC for year 11 students who are not yet working at NZC Level 6. Support from the MOE initiatives described above will help schools with this.</w:t>
      </w:r>
      <w:r w:rsidR="008C38D5" w:rsidRPr="00067260">
        <w:t xml:space="preserve">  </w:t>
      </w:r>
      <w:r w:rsidRPr="00067260">
        <w:t xml:space="preserve">Feedback also indicates that the retention of a small number of Level 1 Science unit standards would provide motivation for students to continue studying Science. </w:t>
      </w:r>
      <w:r w:rsidR="00CF10D0" w:rsidRPr="00067260">
        <w:t xml:space="preserve"> </w:t>
      </w:r>
      <w:r w:rsidRPr="00067260">
        <w:t xml:space="preserve">This would be seen as an </w:t>
      </w:r>
      <w:r w:rsidRPr="00067260">
        <w:rPr>
          <w:b/>
          <w:u w:val="single"/>
        </w:rPr>
        <w:t>interim measure</w:t>
      </w:r>
      <w:r w:rsidRPr="00067260">
        <w:t xml:space="preserve"> as such programmes would not necessarily provide a pathway to a level 2 qualification.</w:t>
      </w:r>
      <w:r w:rsidR="008C38D5" w:rsidRPr="00067260">
        <w:t xml:space="preserve"> </w:t>
      </w:r>
      <w:r w:rsidRPr="00067260">
        <w:t xml:space="preserve"> Schools that continue to use these unit standards would need to give priority to developing new and meaningful pathways in Science.</w:t>
      </w:r>
    </w:p>
    <w:p w:rsidR="00ED0F3E" w:rsidRPr="00067260" w:rsidRDefault="00ED0F3E" w:rsidP="003F59D3">
      <w:pPr>
        <w:pStyle w:val="NormalWeb"/>
        <w:spacing w:before="0" w:beforeAutospacing="0" w:after="0" w:afterAutospacing="0"/>
      </w:pPr>
      <w:r w:rsidRPr="00067260">
        <w:rPr>
          <w:rStyle w:val="Strong"/>
        </w:rPr>
        <w:t>Extension of expiry date of eight specific Level 1 Science unit standards</w:t>
      </w:r>
      <w:r w:rsidRPr="00067260">
        <w:t xml:space="preserve"> </w:t>
      </w:r>
      <w:r w:rsidRPr="00067260">
        <w:br/>
        <w:t xml:space="preserve">Accordingly, it has been decided to retain eight (8) specific Level 1 Science unit standards for a further two years. </w:t>
      </w:r>
      <w:r w:rsidRPr="00067260">
        <w:rPr>
          <w:rStyle w:val="Strong"/>
        </w:rPr>
        <w:t>NZQA will revise unit standards 18969, 18973, 18974, 18977, 18982, 18986, 18989, 21611</w:t>
      </w:r>
      <w:r w:rsidRPr="00067260">
        <w:t xml:space="preserve"> </w:t>
      </w:r>
      <w:r w:rsidRPr="00067260">
        <w:rPr>
          <w:rStyle w:val="Strong"/>
        </w:rPr>
        <w:t xml:space="preserve">and extend their expiry date to 31 December 2014. </w:t>
      </w:r>
      <w:r w:rsidRPr="00067260">
        <w:t xml:space="preserve">The revision will not impact on the outcome of these standards but will ensure the standards remain fit-for-purpose in the interim. </w:t>
      </w:r>
      <w:r w:rsidR="008C38D5" w:rsidRPr="00067260">
        <w:t xml:space="preserve"> </w:t>
      </w:r>
      <w:r w:rsidRPr="00067260">
        <w:t xml:space="preserve">The new versions of the revised standards will be available by mid-November 2012. </w:t>
      </w:r>
      <w:r w:rsidR="008C38D5" w:rsidRPr="00067260">
        <w:t xml:space="preserve"> </w:t>
      </w:r>
      <w:r w:rsidRPr="00067260">
        <w:t xml:space="preserve">The last date </w:t>
      </w:r>
      <w:r w:rsidRPr="00067260">
        <w:lastRenderedPageBreak/>
        <w:t xml:space="preserve">of assessment against the current version of these standards will be 31 December 2012. </w:t>
      </w:r>
      <w:r w:rsidR="008C38D5" w:rsidRPr="00067260">
        <w:t xml:space="preserve"> </w:t>
      </w:r>
      <w:r w:rsidRPr="00067260">
        <w:rPr>
          <w:rStyle w:val="Strong"/>
        </w:rPr>
        <w:t>Schools</w:t>
      </w:r>
      <w:r w:rsidRPr="00067260">
        <w:t xml:space="preserve"> </w:t>
      </w:r>
      <w:r w:rsidRPr="00067260">
        <w:rPr>
          <w:rStyle w:val="Strong"/>
        </w:rPr>
        <w:t>must</w:t>
      </w:r>
      <w:r w:rsidRPr="00067260">
        <w:t xml:space="preserve"> </w:t>
      </w:r>
      <w:r w:rsidRPr="00067260">
        <w:rPr>
          <w:rStyle w:val="Strong"/>
        </w:rPr>
        <w:t>assess against the new versions of these standards in 2013-14.</w:t>
      </w:r>
      <w:r w:rsidR="008C38D5" w:rsidRPr="00067260">
        <w:rPr>
          <w:rStyle w:val="Strong"/>
        </w:rPr>
        <w:t xml:space="preserve"> </w:t>
      </w:r>
      <w:r w:rsidR="00CF10D0" w:rsidRPr="00067260">
        <w:rPr>
          <w:rStyle w:val="Strong"/>
        </w:rPr>
        <w:t xml:space="preserve">  </w:t>
      </w:r>
      <w:r w:rsidRPr="00067260">
        <w:t xml:space="preserve">NZQA’s website will be updated accordingly. Assessment using these standards will not be able to take place after 31 December 2014 (see </w:t>
      </w:r>
      <w:hyperlink r:id="rId9" w:history="1">
        <w:r w:rsidRPr="00067260">
          <w:rPr>
            <w:rStyle w:val="Hyperlink"/>
          </w:rPr>
          <w:t>SecQual S2011/034</w:t>
        </w:r>
      </w:hyperlink>
      <w:r w:rsidRPr="00067260">
        <w:t>).</w:t>
      </w:r>
      <w:r w:rsidR="00CF10D0" w:rsidRPr="00067260">
        <w:t xml:space="preserve">  </w:t>
      </w:r>
      <w:r w:rsidRPr="00067260">
        <w:t>This extension does not apply to the other twelve Level 1 Science unit standards designated as expiring on 31 December 2012.  The MoE and NZQA expect to continue to see a reduction in the numbers of students enrolling for these standards. The MoE will also continue to work with Science departments to support programme design.</w:t>
      </w:r>
      <w:r w:rsidR="00CF10D0" w:rsidRPr="00067260">
        <w:t xml:space="preserve"> </w:t>
      </w:r>
    </w:p>
    <w:p w:rsidR="00ED0F3E" w:rsidRPr="00067260" w:rsidRDefault="009D3BCF" w:rsidP="003F59D3">
      <w:hyperlink r:id="rId10" w:history="1">
        <w:r w:rsidR="00ED0F3E" w:rsidRPr="00067260">
          <w:rPr>
            <w:rStyle w:val="Hyperlink"/>
          </w:rPr>
          <w:t>http://www.nzqa.govt.nz/about-us/publications/newsletters-and-circulars/assessment-matters/science-initiatives/</w:t>
        </w:r>
      </w:hyperlink>
      <w:r w:rsidR="00ED0F3E" w:rsidRPr="00067260">
        <w:t xml:space="preserve"> </w:t>
      </w:r>
    </w:p>
    <w:p w:rsidR="00370EC1" w:rsidRPr="00067260" w:rsidRDefault="00370EC1" w:rsidP="003F59D3"/>
    <w:p w:rsidR="00370EC1" w:rsidRPr="00067260" w:rsidRDefault="00370EC1" w:rsidP="003F59D3">
      <w:r w:rsidRPr="00067260">
        <w:rPr>
          <w:b/>
          <w:u w:val="single"/>
        </w:rPr>
        <w:t>What can schools do to to address the needs of the learners currently being assessed through these standards?</w:t>
      </w:r>
      <w:r w:rsidRPr="00067260">
        <w:t xml:space="preserve">  It would be useful for learning programmes to be trialled that incorporate some of the Level 1 Sciences Achievement Standards.  Some approaches to consider could be </w:t>
      </w:r>
    </w:p>
    <w:p w:rsidR="00CF10D0" w:rsidRPr="00067260" w:rsidRDefault="00CF10D0" w:rsidP="003F59D3">
      <w:pPr>
        <w:pStyle w:val="ListParagraph"/>
        <w:numPr>
          <w:ilvl w:val="0"/>
          <w:numId w:val="3"/>
        </w:numPr>
      </w:pPr>
      <w:r w:rsidRPr="00067260">
        <w:t xml:space="preserve">Developing a Level 1 Science programme using Achievement Standards and </w:t>
      </w:r>
      <w:r w:rsidR="008B1474" w:rsidRPr="00067260">
        <w:t xml:space="preserve">providing evidence towards </w:t>
      </w:r>
      <w:r w:rsidRPr="00067260">
        <w:t xml:space="preserve">Literacy and Numeracy </w:t>
      </w:r>
      <w:r w:rsidR="008B1474" w:rsidRPr="00067260">
        <w:t>standards over a two year period</w:t>
      </w:r>
    </w:p>
    <w:p w:rsidR="008B1474" w:rsidRPr="00067260" w:rsidRDefault="008B1474" w:rsidP="003F59D3">
      <w:pPr>
        <w:pStyle w:val="ListParagraph"/>
        <w:numPr>
          <w:ilvl w:val="0"/>
          <w:numId w:val="3"/>
        </w:numPr>
      </w:pPr>
      <w:r w:rsidRPr="00067260">
        <w:t>Using the NZASE adapted resources for selected Level 1 science achievement standards</w:t>
      </w:r>
    </w:p>
    <w:p w:rsidR="008B1474" w:rsidRPr="00067260" w:rsidRDefault="008B1474" w:rsidP="003F59D3">
      <w:pPr>
        <w:pStyle w:val="ListParagraph"/>
        <w:numPr>
          <w:ilvl w:val="0"/>
          <w:numId w:val="3"/>
        </w:numPr>
      </w:pPr>
      <w:r w:rsidRPr="00067260">
        <w:t>Consider assessing the one achievement objective from New Zealand Curriculum using different achievement standards for different students.  Eg Living World AO life processes relate key structural features and functions to the life processes of plants animals and microorganisms could be assessed using Science 1.10, Bio 1.1, Bio 1.2, or Bio 1.5; AgHort 1.6, 1.7, 1.9, or 1.10</w:t>
      </w:r>
    </w:p>
    <w:p w:rsidR="008B1474" w:rsidRPr="00067260" w:rsidRDefault="008B1474" w:rsidP="003F59D3">
      <w:pPr>
        <w:pStyle w:val="ListParagraph"/>
        <w:numPr>
          <w:ilvl w:val="0"/>
          <w:numId w:val="3"/>
        </w:numPr>
      </w:pPr>
      <w:r w:rsidRPr="00067260">
        <w:t xml:space="preserve">Using </w:t>
      </w:r>
      <w:r w:rsidR="00B50DA7" w:rsidRPr="00067260">
        <w:t>a</w:t>
      </w:r>
      <w:r w:rsidRPr="00067260">
        <w:t xml:space="preserve"> Nature of Science focus </w:t>
      </w:r>
      <w:r w:rsidR="00B50DA7" w:rsidRPr="00067260">
        <w:t>to develop a</w:t>
      </w:r>
      <w:r w:rsidRPr="00067260">
        <w:t xml:space="preserve"> Level 1 programme that leads to assessment using the</w:t>
      </w:r>
      <w:r w:rsidR="00B50DA7" w:rsidRPr="00067260">
        <w:t xml:space="preserve"> Science</w:t>
      </w:r>
      <w:r w:rsidRPr="00067260">
        <w:t xml:space="preserve"> internal assessment tasks</w:t>
      </w:r>
      <w:r w:rsidR="00B50DA7" w:rsidRPr="00067260">
        <w:t xml:space="preserve"> (which are designed with a NoS focus).  In this case the need is for </w:t>
      </w:r>
      <w:r w:rsidRPr="00067260">
        <w:t xml:space="preserve">the learning </w:t>
      </w:r>
      <w:r w:rsidR="00B50DA7" w:rsidRPr="00067260">
        <w:t xml:space="preserve">to </w:t>
      </w:r>
      <w:r w:rsidRPr="00067260">
        <w:t>us</w:t>
      </w:r>
      <w:r w:rsidR="00B50DA7" w:rsidRPr="00067260">
        <w:t>e</w:t>
      </w:r>
      <w:r w:rsidRPr="00067260">
        <w:t xml:space="preserve"> an appropriate science context</w:t>
      </w:r>
      <w:r w:rsidR="00B50DA7" w:rsidRPr="00067260">
        <w:t xml:space="preserve"> addressing the interests of your students</w:t>
      </w:r>
      <w:r w:rsidRPr="00067260">
        <w:t xml:space="preserve"> and follow up</w:t>
      </w:r>
      <w:r w:rsidR="00B50DA7" w:rsidRPr="00067260">
        <w:t xml:space="preserve"> with an assessment task written especially for them.</w:t>
      </w:r>
    </w:p>
    <w:p w:rsidR="003F59D3" w:rsidRDefault="003F59D3" w:rsidP="003F59D3"/>
    <w:p w:rsidR="003F59D3" w:rsidRPr="003F59D3" w:rsidRDefault="003F59D3" w:rsidP="003F59D3">
      <w:pPr>
        <w:rPr>
          <w:b/>
          <w:u w:val="single"/>
        </w:rPr>
      </w:pPr>
      <w:r w:rsidRPr="003F59D3">
        <w:rPr>
          <w:b/>
          <w:u w:val="single"/>
        </w:rPr>
        <w:t>How the Science Facilitators are supporting these learners</w:t>
      </w:r>
    </w:p>
    <w:p w:rsidR="00B50DA7" w:rsidRDefault="00FB22AA" w:rsidP="003F59D3">
      <w:r>
        <w:t xml:space="preserve">Regional facilitators have been working with </w:t>
      </w:r>
      <w:r w:rsidR="003F59D3">
        <w:t>clusters of schools on developing programmes and teaching approaches to assist students who would previously have been assessed using the 189… series Unit Standards.  Incorporating a consistent focus on building the literacy component of science within the programme has led to some great success stories for these students, with some even achieving M or E in NCEA Science internal assessment tasks.</w:t>
      </w:r>
    </w:p>
    <w:p w:rsidR="00580254" w:rsidRDefault="00580254" w:rsidP="003F59D3"/>
    <w:p w:rsidR="004D7F86" w:rsidRDefault="003F59D3" w:rsidP="003F59D3">
      <w:r>
        <w:t xml:space="preserve">In addition, all workshops run by Science </w:t>
      </w:r>
      <w:r w:rsidR="004D7F86">
        <w:t>Facilitators</w:t>
      </w:r>
      <w:r>
        <w:t xml:space="preserve"> </w:t>
      </w:r>
      <w:r w:rsidR="00921AAA">
        <w:t>include</w:t>
      </w:r>
      <w:r>
        <w:t xml:space="preserve"> a focus </w:t>
      </w:r>
      <w:r w:rsidR="004D7F86">
        <w:t xml:space="preserve">on developing different aspects of literacy within teaching and learning programmes to address needs of science </w:t>
      </w:r>
      <w:r>
        <w:t>for these students</w:t>
      </w:r>
      <w:r w:rsidR="004D7F86">
        <w:t>.</w:t>
      </w:r>
    </w:p>
    <w:p w:rsidR="003F59D3" w:rsidRDefault="003F59D3" w:rsidP="003F59D3">
      <w:r>
        <w:t xml:space="preserve"> </w:t>
      </w:r>
    </w:p>
    <w:p w:rsidR="003F59D3" w:rsidRPr="004D7F86" w:rsidRDefault="003F59D3" w:rsidP="003F59D3">
      <w:pPr>
        <w:rPr>
          <w:b/>
        </w:rPr>
      </w:pPr>
      <w:r w:rsidRPr="004D7F86">
        <w:rPr>
          <w:b/>
        </w:rPr>
        <w:t>If you are interested in following up on Professional development on programme design for these Level 1 students contact your Regional Facilitator or National Coordinators.</w:t>
      </w:r>
    </w:p>
    <w:p w:rsidR="004D7F86" w:rsidRDefault="004D7F86" w:rsidP="003F59D3"/>
    <w:p w:rsidR="004B2337" w:rsidRPr="00067260" w:rsidRDefault="004D7F86" w:rsidP="003F59D3">
      <w:r w:rsidRPr="00580254">
        <w:rPr>
          <w:b/>
          <w:noProof/>
          <w:lang w:val="en-US" w:eastAsia="en-US"/>
        </w:rPr>
        <mc:AlternateContent>
          <mc:Choice Requires="wps">
            <w:drawing>
              <wp:anchor distT="0" distB="0" distL="114300" distR="114300" simplePos="0" relativeHeight="251659264" behindDoc="0" locked="0" layoutInCell="0" allowOverlap="1" wp14:anchorId="254048E6" wp14:editId="2E3965B0">
                <wp:simplePos x="0" y="0"/>
                <wp:positionH relativeFrom="page">
                  <wp:posOffset>942975</wp:posOffset>
                </wp:positionH>
                <wp:positionV relativeFrom="page">
                  <wp:posOffset>8210550</wp:posOffset>
                </wp:positionV>
                <wp:extent cx="6048375" cy="2012315"/>
                <wp:effectExtent l="38100" t="38100" r="47625" b="45085"/>
                <wp:wrapSquare wrapText="bothSides"/>
                <wp:docPr id="69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8375" cy="2012315"/>
                        </a:xfrm>
                        <a:prstGeom prst="rect">
                          <a:avLst/>
                        </a:prstGeom>
                        <a:noFill/>
                        <a:ln w="76200" cmpd="thickThin">
                          <a:solidFill>
                            <a:srgbClr val="622423"/>
                          </a:solidFill>
                          <a:miter lim="800000"/>
                          <a:headEnd/>
                          <a:tailEnd/>
                        </a:ln>
                        <a:extLst>
                          <a:ext uri="{909E8E84-426E-40dd-AFC4-6F175D3DCCD1}">
                            <a14:hiddenFill xmlns:a14="http://schemas.microsoft.com/office/drawing/2010/main">
                              <a:solidFill>
                                <a:srgbClr val="FFFFFF"/>
                              </a:solidFill>
                            </a14:hiddenFill>
                          </a:ext>
                        </a:extLst>
                      </wps:spPr>
                      <wps:txbx>
                        <w:txbxContent>
                          <w:p w:rsidR="00921AAA" w:rsidRPr="00067260" w:rsidRDefault="00921AAA" w:rsidP="00580254">
                            <w:pPr>
                              <w:rPr>
                                <w:b/>
                              </w:rPr>
                            </w:pPr>
                            <w:r w:rsidRPr="00067260">
                              <w:rPr>
                                <w:b/>
                              </w:rPr>
                              <w:t>National Coordinators in Sciences</w:t>
                            </w:r>
                          </w:p>
                          <w:p w:rsidR="00921AAA" w:rsidRPr="00067260" w:rsidRDefault="00921AAA" w:rsidP="00580254">
                            <w:r w:rsidRPr="00067260">
                              <w:t xml:space="preserve">Kate Rice  </w:t>
                            </w:r>
                            <w:hyperlink r:id="rId11" w:history="1">
                              <w:r w:rsidRPr="00067260">
                                <w:rPr>
                                  <w:rStyle w:val="Hyperlink"/>
                                  <w:lang w:val="en-US"/>
                                </w:rPr>
                                <w:t>kate.rice@otago.ac.nz</w:t>
                              </w:r>
                            </w:hyperlink>
                            <w:r w:rsidRPr="00067260">
                              <w:rPr>
                                <w:lang w:val="en-US"/>
                              </w:rPr>
                              <w:t xml:space="preserve">  Central South, South Island</w:t>
                            </w:r>
                          </w:p>
                          <w:p w:rsidR="00921AAA" w:rsidRPr="00067260" w:rsidRDefault="00921AAA" w:rsidP="00580254">
                            <w:r w:rsidRPr="00067260">
                              <w:t xml:space="preserve">Mikhal Stone </w:t>
                            </w:r>
                            <w:hyperlink r:id="rId12" w:history="1">
                              <w:r w:rsidRPr="00067260">
                                <w:rPr>
                                  <w:rStyle w:val="Hyperlink"/>
                                </w:rPr>
                                <w:t>m.stone@auckland.ac.nz</w:t>
                              </w:r>
                            </w:hyperlink>
                            <w:r>
                              <w:t xml:space="preserve"> Central North, Northern Region</w:t>
                            </w:r>
                            <w:r w:rsidRPr="00067260">
                              <w:t xml:space="preserve"> </w:t>
                            </w:r>
                          </w:p>
                          <w:p w:rsidR="00921AAA" w:rsidRPr="00580254" w:rsidRDefault="00921AAA" w:rsidP="00580254">
                            <w:pPr>
                              <w:rPr>
                                <w:sz w:val="16"/>
                                <w:szCs w:val="16"/>
                              </w:rPr>
                            </w:pPr>
                          </w:p>
                          <w:p w:rsidR="00921AAA" w:rsidRPr="00067260" w:rsidRDefault="00921AAA" w:rsidP="00580254">
                            <w:pPr>
                              <w:rPr>
                                <w:b/>
                              </w:rPr>
                            </w:pPr>
                            <w:r w:rsidRPr="00067260">
                              <w:rPr>
                                <w:b/>
                              </w:rPr>
                              <w:t>Regional Facilitators in Sciences</w:t>
                            </w:r>
                          </w:p>
                          <w:p w:rsidR="00921AAA" w:rsidRPr="00067260" w:rsidRDefault="00921AAA" w:rsidP="00580254">
                            <w:pPr>
                              <w:rPr>
                                <w:lang w:val="en-US"/>
                              </w:rPr>
                            </w:pPr>
                            <w:r w:rsidRPr="00067260">
                              <w:rPr>
                                <w:lang w:val="en-US"/>
                              </w:rPr>
                              <w:t xml:space="preserve">Cindy Wynn </w:t>
                            </w:r>
                            <w:hyperlink r:id="rId13" w:history="1">
                              <w:r w:rsidRPr="00067260">
                                <w:rPr>
                                  <w:rStyle w:val="Hyperlink"/>
                                  <w:lang w:val="en-US"/>
                                </w:rPr>
                                <w:t>c.wynn@auckland.ac.nz</w:t>
                              </w:r>
                            </w:hyperlink>
                            <w:r w:rsidRPr="00067260">
                              <w:rPr>
                                <w:lang w:val="en-US"/>
                              </w:rPr>
                              <w:t xml:space="preserve"> </w:t>
                            </w:r>
                            <w:r>
                              <w:t>Northern Region</w:t>
                            </w:r>
                          </w:p>
                          <w:p w:rsidR="00921AAA" w:rsidRPr="00067260" w:rsidRDefault="00921AAA" w:rsidP="00580254">
                            <w:r w:rsidRPr="00067260">
                              <w:rPr>
                                <w:lang w:val="en-US"/>
                              </w:rPr>
                              <w:t xml:space="preserve">Simon Taylor </w:t>
                            </w:r>
                            <w:hyperlink r:id="rId14" w:history="1">
                              <w:r w:rsidRPr="00067260">
                                <w:rPr>
                                  <w:rStyle w:val="Hyperlink"/>
                                  <w:lang w:val="en-US"/>
                                </w:rPr>
                                <w:t>sp.taylor@auckland.ac.nz</w:t>
                              </w:r>
                            </w:hyperlink>
                            <w:r w:rsidRPr="00067260">
                              <w:t xml:space="preserve"> Central North </w:t>
                            </w:r>
                            <w:r>
                              <w:t>R</w:t>
                            </w:r>
                            <w:r w:rsidRPr="00067260">
                              <w:t>egion</w:t>
                            </w:r>
                          </w:p>
                          <w:p w:rsidR="00921AAA" w:rsidRPr="00067260" w:rsidRDefault="00921AAA" w:rsidP="00580254">
                            <w:pPr>
                              <w:rPr>
                                <w:b/>
                              </w:rPr>
                            </w:pPr>
                            <w:r w:rsidRPr="00067260">
                              <w:t xml:space="preserve">Stephen Williams </w:t>
                            </w:r>
                            <w:hyperlink r:id="rId15" w:history="1">
                              <w:r w:rsidRPr="00067260">
                                <w:rPr>
                                  <w:rStyle w:val="Hyperlink"/>
                                </w:rPr>
                                <w:t>stephen.williams@otago.ac.nz</w:t>
                              </w:r>
                            </w:hyperlink>
                            <w:r w:rsidRPr="00067260">
                              <w:t xml:space="preserve"> Central South Region</w:t>
                            </w:r>
                          </w:p>
                          <w:p w:rsidR="00921AAA" w:rsidRDefault="00921AAA" w:rsidP="00580254">
                            <w:r w:rsidRPr="00067260">
                              <w:t xml:space="preserve">Sabina Cleary  </w:t>
                            </w:r>
                            <w:hyperlink r:id="rId16" w:history="1">
                              <w:r w:rsidRPr="00067260">
                                <w:rPr>
                                  <w:rStyle w:val="Hyperlink"/>
                                </w:rPr>
                                <w:t>sabina.cleary@canterbury.ac.nz</w:t>
                              </w:r>
                            </w:hyperlink>
                            <w:r w:rsidRPr="00067260">
                              <w:t xml:space="preserve"> </w:t>
                            </w:r>
                            <w:r>
                              <w:t>South Island</w:t>
                            </w:r>
                            <w:r w:rsidRPr="00067260">
                              <w:t xml:space="preserve"> </w:t>
                            </w:r>
                            <w:r>
                              <w:t>Region</w:t>
                            </w:r>
                          </w:p>
                          <w:p w:rsidR="00921AAA" w:rsidRPr="004D7F86" w:rsidRDefault="00921AAA" w:rsidP="004D7F86">
                            <w:r w:rsidRPr="00067260">
                              <w:t xml:space="preserve">Kate Rice  </w:t>
                            </w:r>
                            <w:hyperlink r:id="rId17" w:history="1">
                              <w:r w:rsidRPr="00067260">
                                <w:rPr>
                                  <w:rStyle w:val="Hyperlink"/>
                                  <w:lang w:val="en-US"/>
                                </w:rPr>
                                <w:t>kate.rice@otago.ac.nz</w:t>
                              </w:r>
                            </w:hyperlink>
                            <w:r w:rsidRPr="00067260">
                              <w:rPr>
                                <w:lang w:val="en-US"/>
                              </w:rPr>
                              <w:t xml:space="preserve">  Central South, South Island</w:t>
                            </w:r>
                            <w:r>
                              <w:t xml:space="preserve"> Regions</w:t>
                            </w:r>
                          </w:p>
                        </w:txbxContent>
                      </wps:txbx>
                      <wps:bodyPr rot="0" vert="horz" wrap="square" lIns="137160" tIns="91440" rIns="137160" bIns="91440" anchor="ctr" anchorCtr="0" upright="1">
                        <a:noAutofit/>
                      </wps:bodyPr>
                    </wps:wsp>
                  </a:graphicData>
                </a:graphic>
                <wp14:sizeRelH relativeFrom="margin">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74.25pt;margin-top:646.5pt;width:476.25pt;height:158.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" o:allowincell="f" filled="f" strokecolor="#622423" strokeweight="6pt">
                <v:stroke linestyle="thickThin"/>
                <v:textbox inset="10.8pt,7.2pt,10.8pt,7.2pt">
                  <w:txbxContent>
                    <w:p w:rsidR="00921AAA" w:rsidRPr="00067260" w:rsidRDefault="00921AAA" w:rsidP="00580254">
                      <w:pPr>
                        <w:rPr>
                          <w:b/>
                        </w:rPr>
                      </w:pPr>
                      <w:r w:rsidRPr="00067260">
                        <w:rPr>
                          <w:b/>
                        </w:rPr>
                        <w:t>National Coordinators in Sciences</w:t>
                      </w:r>
                    </w:p>
                    <w:p w:rsidR="00921AAA" w:rsidRPr="00067260" w:rsidRDefault="00921AAA" w:rsidP="00580254">
                      <w:r w:rsidRPr="00067260">
                        <w:t xml:space="preserve">Kate Rice  </w:t>
                      </w:r>
                      <w:hyperlink r:id="rId18" w:history="1">
                        <w:r w:rsidRPr="00067260">
                          <w:rPr>
                            <w:rStyle w:val="Hyperlink"/>
                            <w:lang w:val="en-US"/>
                          </w:rPr>
                          <w:t>kate.rice@otago.ac.nz</w:t>
                        </w:r>
                      </w:hyperlink>
                      <w:r w:rsidRPr="00067260">
                        <w:rPr>
                          <w:lang w:val="en-US"/>
                        </w:rPr>
                        <w:t xml:space="preserve">  Central South, South Island</w:t>
                      </w:r>
                    </w:p>
                    <w:p w:rsidR="00921AAA" w:rsidRPr="00067260" w:rsidRDefault="00921AAA" w:rsidP="00580254">
                      <w:r w:rsidRPr="00067260">
                        <w:t xml:space="preserve">Mikhal Stone </w:t>
                      </w:r>
                      <w:hyperlink r:id="rId19" w:history="1">
                        <w:r w:rsidRPr="00067260">
                          <w:rPr>
                            <w:rStyle w:val="Hyperlink"/>
                          </w:rPr>
                          <w:t>m.stone@auckland.ac.nz</w:t>
                        </w:r>
                      </w:hyperlink>
                      <w:r>
                        <w:t xml:space="preserve"> Central North, Northern Region</w:t>
                      </w:r>
                      <w:r w:rsidRPr="00067260">
                        <w:t xml:space="preserve"> </w:t>
                      </w:r>
                    </w:p>
                    <w:p w:rsidR="00921AAA" w:rsidRPr="00580254" w:rsidRDefault="00921AAA" w:rsidP="00580254">
                      <w:pPr>
                        <w:rPr>
                          <w:sz w:val="16"/>
                          <w:szCs w:val="16"/>
                        </w:rPr>
                      </w:pPr>
                    </w:p>
                    <w:p w:rsidR="00921AAA" w:rsidRPr="00067260" w:rsidRDefault="00921AAA" w:rsidP="00580254">
                      <w:pPr>
                        <w:rPr>
                          <w:b/>
                        </w:rPr>
                      </w:pPr>
                      <w:r w:rsidRPr="00067260">
                        <w:rPr>
                          <w:b/>
                        </w:rPr>
                        <w:t>Regional Facilitators in Sciences</w:t>
                      </w:r>
                    </w:p>
                    <w:p w:rsidR="00921AAA" w:rsidRPr="00067260" w:rsidRDefault="00921AAA" w:rsidP="00580254">
                      <w:pPr>
                        <w:rPr>
                          <w:lang w:val="en-US"/>
                        </w:rPr>
                      </w:pPr>
                      <w:r w:rsidRPr="00067260">
                        <w:rPr>
                          <w:lang w:val="en-US"/>
                        </w:rPr>
                        <w:t xml:space="preserve">Cindy Wynn </w:t>
                      </w:r>
                      <w:hyperlink r:id="rId20" w:history="1">
                        <w:r w:rsidRPr="00067260">
                          <w:rPr>
                            <w:rStyle w:val="Hyperlink"/>
                            <w:lang w:val="en-US"/>
                          </w:rPr>
                          <w:t>c.wynn@auckland.ac.nz</w:t>
                        </w:r>
                      </w:hyperlink>
                      <w:r w:rsidRPr="00067260">
                        <w:rPr>
                          <w:lang w:val="en-US"/>
                        </w:rPr>
                        <w:t xml:space="preserve"> </w:t>
                      </w:r>
                      <w:r>
                        <w:t>Northern Region</w:t>
                      </w:r>
                    </w:p>
                    <w:p w:rsidR="00921AAA" w:rsidRPr="00067260" w:rsidRDefault="00921AAA" w:rsidP="00580254">
                      <w:r w:rsidRPr="00067260">
                        <w:rPr>
                          <w:lang w:val="en-US"/>
                        </w:rPr>
                        <w:t xml:space="preserve">Simon Taylor </w:t>
                      </w:r>
                      <w:hyperlink r:id="rId21" w:history="1">
                        <w:r w:rsidRPr="00067260">
                          <w:rPr>
                            <w:rStyle w:val="Hyperlink"/>
                            <w:lang w:val="en-US"/>
                          </w:rPr>
                          <w:t>sp.taylor@auckland.ac.nz</w:t>
                        </w:r>
                      </w:hyperlink>
                      <w:r w:rsidRPr="00067260">
                        <w:t xml:space="preserve"> Central North </w:t>
                      </w:r>
                      <w:r>
                        <w:t>R</w:t>
                      </w:r>
                      <w:r w:rsidRPr="00067260">
                        <w:t>egion</w:t>
                      </w:r>
                    </w:p>
                    <w:p w:rsidR="00921AAA" w:rsidRPr="00067260" w:rsidRDefault="00921AAA" w:rsidP="00580254">
                      <w:pPr>
                        <w:rPr>
                          <w:b/>
                        </w:rPr>
                      </w:pPr>
                      <w:r w:rsidRPr="00067260">
                        <w:t xml:space="preserve">Stephen Williams </w:t>
                      </w:r>
                      <w:hyperlink r:id="rId22" w:history="1">
                        <w:r w:rsidRPr="00067260">
                          <w:rPr>
                            <w:rStyle w:val="Hyperlink"/>
                          </w:rPr>
                          <w:t>stephen.williams@otago.ac.nz</w:t>
                        </w:r>
                      </w:hyperlink>
                      <w:r w:rsidRPr="00067260">
                        <w:t xml:space="preserve"> Central South Region</w:t>
                      </w:r>
                    </w:p>
                    <w:p w:rsidR="00921AAA" w:rsidRDefault="00921AAA" w:rsidP="00580254">
                      <w:r w:rsidRPr="00067260">
                        <w:t xml:space="preserve">Sabina Cleary  </w:t>
                      </w:r>
                      <w:hyperlink r:id="rId23" w:history="1">
                        <w:r w:rsidRPr="00067260">
                          <w:rPr>
                            <w:rStyle w:val="Hyperlink"/>
                          </w:rPr>
                          <w:t>sabina.cleary@canterbury.ac.nz</w:t>
                        </w:r>
                      </w:hyperlink>
                      <w:r w:rsidRPr="00067260">
                        <w:t xml:space="preserve"> </w:t>
                      </w:r>
                      <w:r>
                        <w:t>South Island</w:t>
                      </w:r>
                      <w:r w:rsidRPr="00067260">
                        <w:t xml:space="preserve"> </w:t>
                      </w:r>
                      <w:r>
                        <w:t>Region</w:t>
                      </w:r>
                    </w:p>
                    <w:p w:rsidR="00921AAA" w:rsidRPr="004D7F86" w:rsidRDefault="00921AAA" w:rsidP="004D7F86">
                      <w:r w:rsidRPr="00067260">
                        <w:t xml:space="preserve">Kate Rice  </w:t>
                      </w:r>
                      <w:hyperlink r:id="rId24" w:history="1">
                        <w:r w:rsidRPr="00067260">
                          <w:rPr>
                            <w:rStyle w:val="Hyperlink"/>
                            <w:lang w:val="en-US"/>
                          </w:rPr>
                          <w:t>kate.rice@otago.ac.nz</w:t>
                        </w:r>
                      </w:hyperlink>
                      <w:r w:rsidRPr="00067260">
                        <w:rPr>
                          <w:lang w:val="en-US"/>
                        </w:rPr>
                        <w:t xml:space="preserve">  Central South, South Island</w:t>
                      </w:r>
                      <w:r>
                        <w:t xml:space="preserve"> Regions</w:t>
                      </w:r>
                    </w:p>
                  </w:txbxContent>
                </v:textbox>
                <w10:wrap type="square" anchorx="page" anchory="page"/>
              </v:shape>
            </w:pict>
          </mc:Fallback>
        </mc:AlternateContent>
      </w:r>
      <w:r>
        <w:t>For details of the workshops available in Term 4 for all the sciences go to:</w:t>
      </w:r>
      <w:r w:rsidR="004B2337">
        <w:t xml:space="preserve"> </w:t>
      </w:r>
      <w:hyperlink r:id="rId25" w:history="1">
        <w:r w:rsidR="004B2337" w:rsidRPr="00FC04FA">
          <w:rPr>
            <w:rStyle w:val="Hyperlink"/>
          </w:rPr>
          <w:t>http://nzcurriculum.tki.org.nz/Ministry-curriculum-guides/Secondary-middle-leaders/Professional-learning-and-development/Workshops-and-clusters</w:t>
        </w:r>
      </w:hyperlink>
      <w:r w:rsidR="004B2337">
        <w:t xml:space="preserve"> </w:t>
      </w:r>
    </w:p>
    <w:sectPr w:rsidR="004B2337" w:rsidRPr="00067260" w:rsidSect="00B4593D">
      <w:footerReference w:type="default" r:id="rId26"/>
      <w:pgSz w:w="11907" w:h="16840" w:code="9"/>
      <w:pgMar w:top="674" w:right="1275" w:bottom="851" w:left="993" w:header="142" w:footer="257"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7D09" w:rsidRDefault="00637D09" w:rsidP="00A10457">
      <w:r>
        <w:separator/>
      </w:r>
    </w:p>
  </w:endnote>
  <w:endnote w:type="continuationSeparator" w:id="0">
    <w:p w:rsidR="00637D09" w:rsidRDefault="00637D09" w:rsidP="00A10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0457" w:rsidRDefault="00A10457">
    <w:pPr>
      <w:pStyle w:val="Footer"/>
    </w:pPr>
    <w:r>
      <w:t>This Professional Learning and Development is funded by Ministry of Education</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7D09" w:rsidRDefault="00637D09" w:rsidP="00A10457">
      <w:r>
        <w:separator/>
      </w:r>
    </w:p>
  </w:footnote>
  <w:footnote w:type="continuationSeparator" w:id="0">
    <w:p w:rsidR="00637D09" w:rsidRDefault="00637D09" w:rsidP="00A1045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6C16E9"/>
    <w:multiLevelType w:val="hybridMultilevel"/>
    <w:tmpl w:val="3E129F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3728413A"/>
    <w:multiLevelType w:val="multilevel"/>
    <w:tmpl w:val="0EA88A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D6D200F"/>
    <w:multiLevelType w:val="hybridMultilevel"/>
    <w:tmpl w:val="40263D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00DF"/>
    <w:rsid w:val="00030F9A"/>
    <w:rsid w:val="00067260"/>
    <w:rsid w:val="000A2615"/>
    <w:rsid w:val="001411B1"/>
    <w:rsid w:val="00143B1E"/>
    <w:rsid w:val="001528F5"/>
    <w:rsid w:val="0017622A"/>
    <w:rsid w:val="001B366B"/>
    <w:rsid w:val="001C7899"/>
    <w:rsid w:val="001E2229"/>
    <w:rsid w:val="00215516"/>
    <w:rsid w:val="00216CE3"/>
    <w:rsid w:val="0021725B"/>
    <w:rsid w:val="0022686E"/>
    <w:rsid w:val="00232232"/>
    <w:rsid w:val="0027205C"/>
    <w:rsid w:val="00275D85"/>
    <w:rsid w:val="00294636"/>
    <w:rsid w:val="002B1D13"/>
    <w:rsid w:val="002C68D2"/>
    <w:rsid w:val="002F7233"/>
    <w:rsid w:val="003407C5"/>
    <w:rsid w:val="00370EC1"/>
    <w:rsid w:val="003A1EC8"/>
    <w:rsid w:val="003D056A"/>
    <w:rsid w:val="003E326B"/>
    <w:rsid w:val="003F59D3"/>
    <w:rsid w:val="00423D44"/>
    <w:rsid w:val="00461428"/>
    <w:rsid w:val="004653B0"/>
    <w:rsid w:val="004673DB"/>
    <w:rsid w:val="0047750C"/>
    <w:rsid w:val="00495465"/>
    <w:rsid w:val="004B2337"/>
    <w:rsid w:val="004C00ED"/>
    <w:rsid w:val="004C2F67"/>
    <w:rsid w:val="004D7F86"/>
    <w:rsid w:val="004E714B"/>
    <w:rsid w:val="005204CD"/>
    <w:rsid w:val="005235D7"/>
    <w:rsid w:val="00523F25"/>
    <w:rsid w:val="00540A9E"/>
    <w:rsid w:val="00554D0E"/>
    <w:rsid w:val="00555F7C"/>
    <w:rsid w:val="005612A8"/>
    <w:rsid w:val="0057171A"/>
    <w:rsid w:val="00580254"/>
    <w:rsid w:val="00585776"/>
    <w:rsid w:val="005A21CB"/>
    <w:rsid w:val="005D4D19"/>
    <w:rsid w:val="005D5E48"/>
    <w:rsid w:val="00623A56"/>
    <w:rsid w:val="00637D09"/>
    <w:rsid w:val="006B55B7"/>
    <w:rsid w:val="006B5D7B"/>
    <w:rsid w:val="006D53C3"/>
    <w:rsid w:val="006E60A2"/>
    <w:rsid w:val="006E61DF"/>
    <w:rsid w:val="006F3439"/>
    <w:rsid w:val="00715963"/>
    <w:rsid w:val="0074163D"/>
    <w:rsid w:val="0074243B"/>
    <w:rsid w:val="007616A4"/>
    <w:rsid w:val="00762598"/>
    <w:rsid w:val="00771CE7"/>
    <w:rsid w:val="00792509"/>
    <w:rsid w:val="007C060B"/>
    <w:rsid w:val="007D1E04"/>
    <w:rsid w:val="008047D0"/>
    <w:rsid w:val="00817C90"/>
    <w:rsid w:val="00822469"/>
    <w:rsid w:val="00842FD1"/>
    <w:rsid w:val="008440B1"/>
    <w:rsid w:val="008530E4"/>
    <w:rsid w:val="00872B89"/>
    <w:rsid w:val="00882109"/>
    <w:rsid w:val="0088672B"/>
    <w:rsid w:val="008B1474"/>
    <w:rsid w:val="008B6DC5"/>
    <w:rsid w:val="008C38D5"/>
    <w:rsid w:val="008E4109"/>
    <w:rsid w:val="00902F20"/>
    <w:rsid w:val="009150DF"/>
    <w:rsid w:val="00921AAA"/>
    <w:rsid w:val="009463DB"/>
    <w:rsid w:val="0095302A"/>
    <w:rsid w:val="0097681D"/>
    <w:rsid w:val="009976FA"/>
    <w:rsid w:val="009C744F"/>
    <w:rsid w:val="009D3BCF"/>
    <w:rsid w:val="009F7D61"/>
    <w:rsid w:val="00A10457"/>
    <w:rsid w:val="00A2291D"/>
    <w:rsid w:val="00A27C98"/>
    <w:rsid w:val="00A4187D"/>
    <w:rsid w:val="00A540D4"/>
    <w:rsid w:val="00A568FE"/>
    <w:rsid w:val="00AB67D6"/>
    <w:rsid w:val="00AC6E48"/>
    <w:rsid w:val="00B00ADE"/>
    <w:rsid w:val="00B1180B"/>
    <w:rsid w:val="00B42E13"/>
    <w:rsid w:val="00B430B3"/>
    <w:rsid w:val="00B43C4C"/>
    <w:rsid w:val="00B4593D"/>
    <w:rsid w:val="00B50DA7"/>
    <w:rsid w:val="00B54D20"/>
    <w:rsid w:val="00B74091"/>
    <w:rsid w:val="00B87168"/>
    <w:rsid w:val="00BC2652"/>
    <w:rsid w:val="00BF559B"/>
    <w:rsid w:val="00C03B8D"/>
    <w:rsid w:val="00C65A68"/>
    <w:rsid w:val="00C90AFF"/>
    <w:rsid w:val="00CC65D1"/>
    <w:rsid w:val="00CE0E58"/>
    <w:rsid w:val="00CE3CA3"/>
    <w:rsid w:val="00CF10D0"/>
    <w:rsid w:val="00CF141C"/>
    <w:rsid w:val="00D335DD"/>
    <w:rsid w:val="00D5006A"/>
    <w:rsid w:val="00DA4D23"/>
    <w:rsid w:val="00DD15CA"/>
    <w:rsid w:val="00E06DAB"/>
    <w:rsid w:val="00E241C3"/>
    <w:rsid w:val="00E2477E"/>
    <w:rsid w:val="00E43CA2"/>
    <w:rsid w:val="00E72ACD"/>
    <w:rsid w:val="00EC3383"/>
    <w:rsid w:val="00ED0F3E"/>
    <w:rsid w:val="00ED7440"/>
    <w:rsid w:val="00F174D5"/>
    <w:rsid w:val="00F242CD"/>
    <w:rsid w:val="00F6160D"/>
    <w:rsid w:val="00F639BF"/>
    <w:rsid w:val="00F93AE1"/>
    <w:rsid w:val="00F9486B"/>
    <w:rsid w:val="00FB22AA"/>
    <w:rsid w:val="00FC00DF"/>
    <w:rsid w:val="00FD73F7"/>
    <w:rsid w:val="00FD77E5"/>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GB"/>
    </w:rPr>
  </w:style>
  <w:style w:type="paragraph" w:styleId="Heading2">
    <w:name w:val="heading 2"/>
    <w:basedOn w:val="Normal"/>
    <w:link w:val="Heading2Char"/>
    <w:uiPriority w:val="9"/>
    <w:qFormat/>
    <w:rsid w:val="00ED0F3E"/>
    <w:pPr>
      <w:spacing w:before="100" w:beforeAutospacing="1" w:after="100" w:afterAutospacing="1"/>
      <w:outlineLvl w:val="1"/>
    </w:pPr>
    <w:rPr>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C00DF"/>
    <w:rPr>
      <w:i/>
      <w:iCs/>
    </w:rPr>
  </w:style>
  <w:style w:type="character" w:styleId="Strong">
    <w:name w:val="Strong"/>
    <w:basedOn w:val="DefaultParagraphFont"/>
    <w:uiPriority w:val="22"/>
    <w:qFormat/>
    <w:rsid w:val="00FC00DF"/>
    <w:rPr>
      <w:b/>
      <w:bCs/>
    </w:rPr>
  </w:style>
  <w:style w:type="character" w:styleId="Hyperlink">
    <w:name w:val="Hyperlink"/>
    <w:basedOn w:val="DefaultParagraphFont"/>
    <w:rsid w:val="00FC00DF"/>
    <w:rPr>
      <w:color w:val="0000FF" w:themeColor="hyperlink"/>
      <w:u w:val="single"/>
    </w:rPr>
  </w:style>
  <w:style w:type="character" w:customStyle="1" w:styleId="Heading2Char">
    <w:name w:val="Heading 2 Char"/>
    <w:basedOn w:val="DefaultParagraphFont"/>
    <w:link w:val="Heading2"/>
    <w:uiPriority w:val="9"/>
    <w:rsid w:val="00ED0F3E"/>
    <w:rPr>
      <w:b/>
      <w:bCs/>
      <w:sz w:val="36"/>
      <w:szCs w:val="36"/>
    </w:rPr>
  </w:style>
  <w:style w:type="paragraph" w:styleId="NormalWeb">
    <w:name w:val="Normal (Web)"/>
    <w:basedOn w:val="Normal"/>
    <w:uiPriority w:val="99"/>
    <w:unhideWhenUsed/>
    <w:rsid w:val="00ED0F3E"/>
    <w:pPr>
      <w:spacing w:before="100" w:beforeAutospacing="1" w:after="100" w:afterAutospacing="1"/>
    </w:pPr>
    <w:rPr>
      <w:lang w:eastAsia="en-NZ"/>
    </w:rPr>
  </w:style>
  <w:style w:type="character" w:styleId="FollowedHyperlink">
    <w:name w:val="FollowedHyperlink"/>
    <w:basedOn w:val="DefaultParagraphFont"/>
    <w:rsid w:val="00370EC1"/>
    <w:rPr>
      <w:color w:val="800080" w:themeColor="followedHyperlink"/>
      <w:u w:val="single"/>
    </w:rPr>
  </w:style>
  <w:style w:type="paragraph" w:styleId="ListParagraph">
    <w:name w:val="List Paragraph"/>
    <w:basedOn w:val="Normal"/>
    <w:uiPriority w:val="34"/>
    <w:qFormat/>
    <w:rsid w:val="00CF10D0"/>
    <w:pPr>
      <w:ind w:left="720"/>
      <w:contextualSpacing/>
    </w:pPr>
  </w:style>
  <w:style w:type="paragraph" w:styleId="BalloonText">
    <w:name w:val="Balloon Text"/>
    <w:basedOn w:val="Normal"/>
    <w:link w:val="BalloonTextChar"/>
    <w:rsid w:val="00580254"/>
    <w:rPr>
      <w:rFonts w:ascii="Tahoma" w:hAnsi="Tahoma" w:cs="Tahoma"/>
      <w:sz w:val="16"/>
      <w:szCs w:val="16"/>
    </w:rPr>
  </w:style>
  <w:style w:type="character" w:customStyle="1" w:styleId="BalloonTextChar">
    <w:name w:val="Balloon Text Char"/>
    <w:basedOn w:val="DefaultParagraphFont"/>
    <w:link w:val="BalloonText"/>
    <w:rsid w:val="00580254"/>
    <w:rPr>
      <w:rFonts w:ascii="Tahoma" w:hAnsi="Tahoma" w:cs="Tahoma"/>
      <w:sz w:val="16"/>
      <w:szCs w:val="16"/>
      <w:lang w:eastAsia="en-GB"/>
    </w:rPr>
  </w:style>
  <w:style w:type="paragraph" w:styleId="Header">
    <w:name w:val="header"/>
    <w:basedOn w:val="Normal"/>
    <w:link w:val="HeaderChar"/>
    <w:rsid w:val="00A10457"/>
    <w:pPr>
      <w:tabs>
        <w:tab w:val="center" w:pos="4513"/>
        <w:tab w:val="right" w:pos="9026"/>
      </w:tabs>
    </w:pPr>
  </w:style>
  <w:style w:type="character" w:customStyle="1" w:styleId="HeaderChar">
    <w:name w:val="Header Char"/>
    <w:basedOn w:val="DefaultParagraphFont"/>
    <w:link w:val="Header"/>
    <w:rsid w:val="00A10457"/>
    <w:rPr>
      <w:sz w:val="24"/>
      <w:szCs w:val="24"/>
      <w:lang w:eastAsia="en-GB"/>
    </w:rPr>
  </w:style>
  <w:style w:type="paragraph" w:styleId="Footer">
    <w:name w:val="footer"/>
    <w:basedOn w:val="Normal"/>
    <w:link w:val="FooterChar"/>
    <w:uiPriority w:val="99"/>
    <w:rsid w:val="00A10457"/>
    <w:pPr>
      <w:tabs>
        <w:tab w:val="center" w:pos="4513"/>
        <w:tab w:val="right" w:pos="9026"/>
      </w:tabs>
    </w:pPr>
  </w:style>
  <w:style w:type="character" w:customStyle="1" w:styleId="FooterChar">
    <w:name w:val="Footer Char"/>
    <w:basedOn w:val="DefaultParagraphFont"/>
    <w:link w:val="Footer"/>
    <w:uiPriority w:val="99"/>
    <w:rsid w:val="00A10457"/>
    <w:rPr>
      <w:sz w:val="24"/>
      <w:szCs w:val="24"/>
      <w:lang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GB"/>
    </w:rPr>
  </w:style>
  <w:style w:type="paragraph" w:styleId="Heading2">
    <w:name w:val="heading 2"/>
    <w:basedOn w:val="Normal"/>
    <w:link w:val="Heading2Char"/>
    <w:uiPriority w:val="9"/>
    <w:qFormat/>
    <w:rsid w:val="00ED0F3E"/>
    <w:pPr>
      <w:spacing w:before="100" w:beforeAutospacing="1" w:after="100" w:afterAutospacing="1"/>
      <w:outlineLvl w:val="1"/>
    </w:pPr>
    <w:rPr>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FC00DF"/>
    <w:rPr>
      <w:i/>
      <w:iCs/>
    </w:rPr>
  </w:style>
  <w:style w:type="character" w:styleId="Strong">
    <w:name w:val="Strong"/>
    <w:basedOn w:val="DefaultParagraphFont"/>
    <w:uiPriority w:val="22"/>
    <w:qFormat/>
    <w:rsid w:val="00FC00DF"/>
    <w:rPr>
      <w:b/>
      <w:bCs/>
    </w:rPr>
  </w:style>
  <w:style w:type="character" w:styleId="Hyperlink">
    <w:name w:val="Hyperlink"/>
    <w:basedOn w:val="DefaultParagraphFont"/>
    <w:rsid w:val="00FC00DF"/>
    <w:rPr>
      <w:color w:val="0000FF" w:themeColor="hyperlink"/>
      <w:u w:val="single"/>
    </w:rPr>
  </w:style>
  <w:style w:type="character" w:customStyle="1" w:styleId="Heading2Char">
    <w:name w:val="Heading 2 Char"/>
    <w:basedOn w:val="DefaultParagraphFont"/>
    <w:link w:val="Heading2"/>
    <w:uiPriority w:val="9"/>
    <w:rsid w:val="00ED0F3E"/>
    <w:rPr>
      <w:b/>
      <w:bCs/>
      <w:sz w:val="36"/>
      <w:szCs w:val="36"/>
    </w:rPr>
  </w:style>
  <w:style w:type="paragraph" w:styleId="NormalWeb">
    <w:name w:val="Normal (Web)"/>
    <w:basedOn w:val="Normal"/>
    <w:uiPriority w:val="99"/>
    <w:unhideWhenUsed/>
    <w:rsid w:val="00ED0F3E"/>
    <w:pPr>
      <w:spacing w:before="100" w:beforeAutospacing="1" w:after="100" w:afterAutospacing="1"/>
    </w:pPr>
    <w:rPr>
      <w:lang w:eastAsia="en-NZ"/>
    </w:rPr>
  </w:style>
  <w:style w:type="character" w:styleId="FollowedHyperlink">
    <w:name w:val="FollowedHyperlink"/>
    <w:basedOn w:val="DefaultParagraphFont"/>
    <w:rsid w:val="00370EC1"/>
    <w:rPr>
      <w:color w:val="800080" w:themeColor="followedHyperlink"/>
      <w:u w:val="single"/>
    </w:rPr>
  </w:style>
  <w:style w:type="paragraph" w:styleId="ListParagraph">
    <w:name w:val="List Paragraph"/>
    <w:basedOn w:val="Normal"/>
    <w:uiPriority w:val="34"/>
    <w:qFormat/>
    <w:rsid w:val="00CF10D0"/>
    <w:pPr>
      <w:ind w:left="720"/>
      <w:contextualSpacing/>
    </w:pPr>
  </w:style>
  <w:style w:type="paragraph" w:styleId="BalloonText">
    <w:name w:val="Balloon Text"/>
    <w:basedOn w:val="Normal"/>
    <w:link w:val="BalloonTextChar"/>
    <w:rsid w:val="00580254"/>
    <w:rPr>
      <w:rFonts w:ascii="Tahoma" w:hAnsi="Tahoma" w:cs="Tahoma"/>
      <w:sz w:val="16"/>
      <w:szCs w:val="16"/>
    </w:rPr>
  </w:style>
  <w:style w:type="character" w:customStyle="1" w:styleId="BalloonTextChar">
    <w:name w:val="Balloon Text Char"/>
    <w:basedOn w:val="DefaultParagraphFont"/>
    <w:link w:val="BalloonText"/>
    <w:rsid w:val="00580254"/>
    <w:rPr>
      <w:rFonts w:ascii="Tahoma" w:hAnsi="Tahoma" w:cs="Tahoma"/>
      <w:sz w:val="16"/>
      <w:szCs w:val="16"/>
      <w:lang w:eastAsia="en-GB"/>
    </w:rPr>
  </w:style>
  <w:style w:type="paragraph" w:styleId="Header">
    <w:name w:val="header"/>
    <w:basedOn w:val="Normal"/>
    <w:link w:val="HeaderChar"/>
    <w:rsid w:val="00A10457"/>
    <w:pPr>
      <w:tabs>
        <w:tab w:val="center" w:pos="4513"/>
        <w:tab w:val="right" w:pos="9026"/>
      </w:tabs>
    </w:pPr>
  </w:style>
  <w:style w:type="character" w:customStyle="1" w:styleId="HeaderChar">
    <w:name w:val="Header Char"/>
    <w:basedOn w:val="DefaultParagraphFont"/>
    <w:link w:val="Header"/>
    <w:rsid w:val="00A10457"/>
    <w:rPr>
      <w:sz w:val="24"/>
      <w:szCs w:val="24"/>
      <w:lang w:eastAsia="en-GB"/>
    </w:rPr>
  </w:style>
  <w:style w:type="paragraph" w:styleId="Footer">
    <w:name w:val="footer"/>
    <w:basedOn w:val="Normal"/>
    <w:link w:val="FooterChar"/>
    <w:uiPriority w:val="99"/>
    <w:rsid w:val="00A10457"/>
    <w:pPr>
      <w:tabs>
        <w:tab w:val="center" w:pos="4513"/>
        <w:tab w:val="right" w:pos="9026"/>
      </w:tabs>
    </w:pPr>
  </w:style>
  <w:style w:type="character" w:customStyle="1" w:styleId="FooterChar">
    <w:name w:val="Footer Char"/>
    <w:basedOn w:val="DefaultParagraphFont"/>
    <w:link w:val="Footer"/>
    <w:uiPriority w:val="99"/>
    <w:rsid w:val="00A10457"/>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92764">
      <w:bodyDiv w:val="1"/>
      <w:marLeft w:val="0"/>
      <w:marRight w:val="0"/>
      <w:marTop w:val="0"/>
      <w:marBottom w:val="0"/>
      <w:divBdr>
        <w:top w:val="none" w:sz="0" w:space="0" w:color="auto"/>
        <w:left w:val="none" w:sz="0" w:space="0" w:color="auto"/>
        <w:bottom w:val="none" w:sz="0" w:space="0" w:color="auto"/>
        <w:right w:val="none" w:sz="0" w:space="0" w:color="auto"/>
      </w:divBdr>
    </w:div>
    <w:div w:id="1020813574">
      <w:bodyDiv w:val="1"/>
      <w:marLeft w:val="0"/>
      <w:marRight w:val="0"/>
      <w:marTop w:val="0"/>
      <w:marBottom w:val="0"/>
      <w:divBdr>
        <w:top w:val="none" w:sz="0" w:space="0" w:color="auto"/>
        <w:left w:val="none" w:sz="0" w:space="0" w:color="auto"/>
        <w:bottom w:val="none" w:sz="0" w:space="0" w:color="auto"/>
        <w:right w:val="none" w:sz="0" w:space="0" w:color="auto"/>
      </w:divBdr>
      <w:divsChild>
        <w:div w:id="688485356">
          <w:marLeft w:val="0"/>
          <w:marRight w:val="0"/>
          <w:marTop w:val="0"/>
          <w:marBottom w:val="0"/>
          <w:divBdr>
            <w:top w:val="none" w:sz="0" w:space="0" w:color="auto"/>
            <w:left w:val="none" w:sz="0" w:space="0" w:color="auto"/>
            <w:bottom w:val="none" w:sz="0" w:space="0" w:color="auto"/>
            <w:right w:val="none" w:sz="0" w:space="0" w:color="auto"/>
          </w:divBdr>
          <w:divsChild>
            <w:div w:id="1341547221">
              <w:marLeft w:val="0"/>
              <w:marRight w:val="0"/>
              <w:marTop w:val="0"/>
              <w:marBottom w:val="0"/>
              <w:divBdr>
                <w:top w:val="none" w:sz="0" w:space="0" w:color="auto"/>
                <w:left w:val="none" w:sz="0" w:space="0" w:color="auto"/>
                <w:bottom w:val="none" w:sz="0" w:space="0" w:color="auto"/>
                <w:right w:val="none" w:sz="0" w:space="0" w:color="auto"/>
              </w:divBdr>
              <w:divsChild>
                <w:div w:id="8528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nzqa.govt.nz/about-us/publications/newsletters-and-circulars/secqual/standards-align-exp-stand-rep-results/" TargetMode="External"/><Relationship Id="rId20" Type="http://schemas.openxmlformats.org/officeDocument/2006/relationships/hyperlink" Target="mailto:c.wynn@auckland.ac.nz" TargetMode="External"/><Relationship Id="rId21" Type="http://schemas.openxmlformats.org/officeDocument/2006/relationships/hyperlink" Target="mailto:sp.taylor@auckland.ac.nz" TargetMode="External"/><Relationship Id="rId22" Type="http://schemas.openxmlformats.org/officeDocument/2006/relationships/hyperlink" Target="mailto:stephen.williams@otago.ac.nz" TargetMode="External"/><Relationship Id="rId23" Type="http://schemas.openxmlformats.org/officeDocument/2006/relationships/hyperlink" Target="mailto:sabina.cleary@canterbury.ac.nz" TargetMode="External"/><Relationship Id="rId24" Type="http://schemas.openxmlformats.org/officeDocument/2006/relationships/hyperlink" Target="mailto:kate.rice@otago.ac.nz" TargetMode="External"/><Relationship Id="rId25" Type="http://schemas.openxmlformats.org/officeDocument/2006/relationships/hyperlink" Target="http://nzcurriculum.tki.org.nz/Ministry-curriculum-guides/Secondary-middle-leaders/Professional-learning-and-development/Workshops-and-clusters" TargetMode="External"/><Relationship Id="rId26" Type="http://schemas.openxmlformats.org/officeDocument/2006/relationships/footer" Target="footer1.xml"/><Relationship Id="rId27" Type="http://schemas.openxmlformats.org/officeDocument/2006/relationships/fontTable" Target="fontTable.xml"/><Relationship Id="rId28" Type="http://schemas.openxmlformats.org/officeDocument/2006/relationships/theme" Target="theme/theme1.xml"/><Relationship Id="rId10" Type="http://schemas.openxmlformats.org/officeDocument/2006/relationships/hyperlink" Target="http://www.nzqa.govt.nz/about-us/publications/newsletters-and-circulars/assessment-matters/science-initiatives/" TargetMode="External"/><Relationship Id="rId11" Type="http://schemas.openxmlformats.org/officeDocument/2006/relationships/hyperlink" Target="mailto:kate.rice@otago.ac.nz" TargetMode="External"/><Relationship Id="rId12" Type="http://schemas.openxmlformats.org/officeDocument/2006/relationships/hyperlink" Target="mailto:m.stone@auckland.ac.nz" TargetMode="External"/><Relationship Id="rId13" Type="http://schemas.openxmlformats.org/officeDocument/2006/relationships/hyperlink" Target="mailto:c.wynn@auckland.ac.nz" TargetMode="External"/><Relationship Id="rId14" Type="http://schemas.openxmlformats.org/officeDocument/2006/relationships/hyperlink" Target="mailto:sp.taylor@auckland.ac.nz" TargetMode="External"/><Relationship Id="rId15" Type="http://schemas.openxmlformats.org/officeDocument/2006/relationships/hyperlink" Target="mailto:stephen.williams@otago.ac.nz" TargetMode="External"/><Relationship Id="rId16" Type="http://schemas.openxmlformats.org/officeDocument/2006/relationships/hyperlink" Target="mailto:sabina.cleary@canterbury.ac.nz" TargetMode="External"/><Relationship Id="rId17" Type="http://schemas.openxmlformats.org/officeDocument/2006/relationships/hyperlink" Target="mailto:kate.rice@otago.ac.nz" TargetMode="External"/><Relationship Id="rId18" Type="http://schemas.openxmlformats.org/officeDocument/2006/relationships/hyperlink" Target="mailto:kate.rice@otago.ac.nz" TargetMode="External"/><Relationship Id="rId19" Type="http://schemas.openxmlformats.org/officeDocument/2006/relationships/hyperlink" Target="mailto:m.stone@auckland.ac.nz"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nzqa.govt.nz/about-us/publications/newsletters-and-circulars/secqual/changes-to-the-list-of-approved-subjects-for-university-entra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1135</Words>
  <Characters>6474</Characters>
  <Application>Microsoft Macintosh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Rice</dc:creator>
  <cp:lastModifiedBy>Simon Taylor</cp:lastModifiedBy>
  <cp:revision>2</cp:revision>
  <cp:lastPrinted>2012-09-26T22:00:00Z</cp:lastPrinted>
  <dcterms:created xsi:type="dcterms:W3CDTF">2012-09-30T23:43:00Z</dcterms:created>
  <dcterms:modified xsi:type="dcterms:W3CDTF">2012-09-30T23:43:00Z</dcterms:modified>
</cp:coreProperties>
</file>